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432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2533333</wp:posOffset>
            </wp:positionH>
            <wp:positionV relativeFrom="paragraph">
              <wp:posOffset>0</wp:posOffset>
            </wp:positionV>
            <wp:extent cx="905192" cy="104492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192" cy="1044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4320" w:firstLine="0"/>
        <w:jc w:val="left"/>
        <w:rPr>
          <w:b w:val="1"/>
          <w:i w:val="1"/>
          <w:sz w:val="28"/>
          <w:szCs w:val="28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ageBreakBefore w:val="0"/>
        <w:ind w:left="432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4320" w:firstLine="0"/>
        <w:jc w:val="left"/>
        <w:rPr>
          <w:color w:val="0000ff"/>
          <w:u w:val="single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Sixth </w:t>
      </w:r>
      <w:r w:rsidDel="00000000" w:rsidR="00000000" w:rsidRPr="00000000">
        <w:rPr>
          <w:b w:val="1"/>
          <w:vertAlign w:val="baseline"/>
          <w:rtl w:val="0"/>
        </w:rPr>
        <w:t xml:space="preserve">Class Book List for September 20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07">
      <w:pPr>
        <w:pStyle w:val="Heading1"/>
        <w:pageBreakBefore w:val="0"/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Books</w:t>
      </w:r>
      <w:r w:rsidDel="00000000" w:rsidR="00000000" w:rsidRPr="00000000">
        <w:rPr>
          <w:sz w:val="28"/>
          <w:szCs w:val="28"/>
          <w:rtl w:val="0"/>
        </w:rPr>
        <w:t xml:space="preserve"> Provided</w:t>
      </w: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20"/>
        <w:gridCol w:w="5145"/>
        <w:gridCol w:w="1935"/>
        <w:tblGridChange w:id="0">
          <w:tblGrid>
            <w:gridCol w:w="3120"/>
            <w:gridCol w:w="5145"/>
            <w:gridCol w:w="193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Gaeilge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Bua na Cainte 6 online interactive programme</w:t>
            </w:r>
          </w:p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Bua na Cainte 6 Pupil Book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Edco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‘Flying High’ 6th</w:t>
            </w:r>
            <w:r w:rsidDel="00000000" w:rsidR="00000000" w:rsidRPr="00000000">
              <w:rPr>
                <w:rtl w:val="0"/>
              </w:rPr>
              <w:t xml:space="preserve"> Class 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Spell</w:t>
            </w:r>
            <w:r w:rsidDel="00000000" w:rsidR="00000000" w:rsidRPr="00000000">
              <w:rPr>
                <w:rtl w:val="0"/>
              </w:rPr>
              <w:t xml:space="preserve"> it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Handwriting Copy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Master Your Grammar 6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Collins Pocket dictionary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CJ Fallon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Folens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Operation Maths Pupil’s Book 6th class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Operation Maths Discovery Book 6th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Master Your Maths 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Tables Book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Edco</w:t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Unlocking SESE</w:t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School Atlas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SPHE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Weaving Wellbeing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Outside the Box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Music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Dabbledoo Subscription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Grow in Love-Pupil’s Book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VERITAS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Twinkl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Subscription for the school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Homework Journal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Copybooks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An initial set of copybooks will be provided.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jc w:val="left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color w:val="aeaa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color w:val="aeaa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72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To be Purchased Through the School:</w:t>
      </w:r>
      <w:r w:rsidDel="00000000" w:rsidR="00000000" w:rsidRPr="00000000">
        <w:rPr>
          <w:rtl w:val="0"/>
        </w:rPr>
      </w:r>
    </w:p>
    <w:tbl>
      <w:tblPr>
        <w:tblStyle w:val="Table2"/>
        <w:tblW w:w="10425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25"/>
        <w:tblGridChange w:id="0">
          <w:tblGrid>
            <w:gridCol w:w="10425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tcBorders>
              <w:bottom w:color="000000" w:space="0" w:sz="3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ind w:left="72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numPr>
                <w:ilvl w:val="0"/>
                <w:numId w:val="2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 fee of €5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towards the cost of pupil insurance, photocopying, art and craft materials, printing, and text alerts. (This may be paid in June or September or in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installments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from September to December).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36" w:val="single"/>
              <w:left w:color="000000" w:space="0" w:sz="4" w:val="single"/>
              <w:bottom w:color="000000" w:space="0" w:sz="3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Total amount to be paid to School per child: </w:t>
            </w:r>
            <w:r w:rsidDel="00000000" w:rsidR="00000000" w:rsidRPr="00000000">
              <w:rPr>
                <w:b w:val="1"/>
                <w:rtl w:val="0"/>
              </w:rPr>
              <w:t xml:space="preserve">€50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ind w:left="72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Please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bring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a glue stick for use in Art and Craft for your child which will be kept in school.</w:t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We encourage all children to wear a watch to help to learn and practice the time.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1"/>
              </w:numPr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If your child is cycling to School they must wear a helmet</w:t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ind w:left="0" w:firstLine="0"/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288" w:top="288" w:left="1411.2" w:right="1411.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Style w:val="Subtitle"/>
      <w:pageBreakBefore w:val="0"/>
      <w:rPr/>
    </w:pPr>
    <w:bookmarkStart w:colFirst="0" w:colLast="0" w:name="_mhgms3kecz0b" w:id="0"/>
    <w:bookmarkEnd w:id="0"/>
    <w:r w:rsidDel="00000000" w:rsidR="00000000" w:rsidRPr="00000000">
      <w:rPr>
        <w:sz w:val="20"/>
        <w:szCs w:val="20"/>
        <w:rtl w:val="0"/>
      </w:rPr>
      <w:t xml:space="preserve">Newbrook Rd., Donaghmede, Dublin 13</w:t>
      <w:tab/>
      <w:tab/>
      <w:tab/>
      <w:tab/>
      <w:tab/>
      <w:tab/>
      <w:tab/>
      <w:t xml:space="preserve">Tel: 01-8477300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